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989" w:rsidRDefault="00B87989" w:rsidP="00B87989"/>
    <w:tbl>
      <w:tblPr>
        <w:tblW w:w="10774" w:type="dxa"/>
        <w:tblInd w:w="-743" w:type="dxa"/>
        <w:tblLook w:val="0000"/>
      </w:tblPr>
      <w:tblGrid>
        <w:gridCol w:w="248"/>
        <w:gridCol w:w="4289"/>
        <w:gridCol w:w="334"/>
        <w:gridCol w:w="5628"/>
        <w:gridCol w:w="275"/>
      </w:tblGrid>
      <w:tr w:rsidR="00B87989" w:rsidRPr="003670FD" w:rsidTr="00A777E1">
        <w:trPr>
          <w:gridBefore w:val="1"/>
          <w:gridAfter w:val="1"/>
          <w:wBefore w:w="248" w:type="dxa"/>
          <w:wAfter w:w="275" w:type="dxa"/>
          <w:trHeight w:val="1665"/>
        </w:trPr>
        <w:tc>
          <w:tcPr>
            <w:tcW w:w="4623" w:type="dxa"/>
            <w:gridSpan w:val="2"/>
          </w:tcPr>
          <w:p w:rsidR="00B87989" w:rsidRPr="00C85094" w:rsidRDefault="00B87989" w:rsidP="00A777E1">
            <w:pPr>
              <w:pStyle w:val="Heading2"/>
              <w:rPr>
                <w:rFonts w:ascii="Times New Roman" w:hAnsi="Times New Roman"/>
                <w:bCs/>
                <w:i w:val="0"/>
                <w:lang w:val="pt-BR"/>
              </w:rPr>
            </w:pPr>
            <w:r w:rsidRPr="00C85094">
              <w:rPr>
                <w:rFonts w:ascii="Times New Roman" w:hAnsi="Times New Roman"/>
                <w:lang w:val="pt-BR"/>
              </w:rPr>
              <w:br w:type="page"/>
            </w:r>
            <w:r w:rsidRPr="00C85094">
              <w:rPr>
                <w:rFonts w:ascii="Times New Roman" w:hAnsi="Times New Roman"/>
                <w:bCs/>
                <w:i w:val="0"/>
                <w:lang w:val="pt-BR"/>
              </w:rPr>
              <w:t xml:space="preserve">UỶ BAN </w:t>
            </w:r>
            <w:r>
              <w:rPr>
                <w:rFonts w:ascii="Times New Roman" w:hAnsi="Times New Roman"/>
                <w:bCs/>
                <w:i w:val="0"/>
                <w:lang w:val="pt-BR"/>
              </w:rPr>
              <w:t>MTTQ VIỆT NAM</w:t>
            </w:r>
          </w:p>
          <w:p w:rsidR="00B87989" w:rsidRPr="00C85094" w:rsidRDefault="00B87989" w:rsidP="00A777E1">
            <w:pPr>
              <w:pStyle w:val="Heading2"/>
              <w:rPr>
                <w:rFonts w:ascii="Times New Roman" w:hAnsi="Times New Roman"/>
                <w:b/>
                <w:bCs/>
                <w:sz w:val="26"/>
                <w:szCs w:val="26"/>
                <w:lang w:val="pt-BR"/>
              </w:rPr>
            </w:pPr>
            <w:r>
              <w:rPr>
                <w:rFonts w:ascii="Times New Roman" w:hAnsi="Times New Roman"/>
                <w:bCs/>
                <w:i w:val="0"/>
                <w:lang w:val="pt-BR"/>
              </w:rPr>
              <w:t>HUYỆN CƯ JÚT</w:t>
            </w:r>
          </w:p>
          <w:p w:rsidR="00B87989" w:rsidRPr="003670FD" w:rsidRDefault="00B87989" w:rsidP="00A777E1">
            <w:pPr>
              <w:jc w:val="center"/>
              <w:rPr>
                <w:b/>
                <w:szCs w:val="28"/>
              </w:rPr>
            </w:pPr>
            <w:r w:rsidRPr="003670FD">
              <w:rPr>
                <w:b/>
                <w:szCs w:val="28"/>
              </w:rPr>
              <w:t>BAN THƯỜNG TRỰC</w:t>
            </w:r>
          </w:p>
          <w:p w:rsidR="00B87989" w:rsidRPr="003670FD" w:rsidRDefault="007D60BD" w:rsidP="00A777E1">
            <w:pPr>
              <w:jc w:val="center"/>
              <w:rPr>
                <w:sz w:val="25"/>
                <w:szCs w:val="25"/>
              </w:rPr>
            </w:pPr>
            <w:r>
              <w:rPr>
                <w:noProof/>
                <w:sz w:val="25"/>
                <w:szCs w:val="25"/>
              </w:rPr>
              <w:pict>
                <v:line id="_x0000_s1031" style="position:absolute;left:0;text-align:left;flip:y;z-index:251661312" from="39.3pt,.8pt" to="181.05pt,.8pt"/>
              </w:pict>
            </w:r>
            <w:r>
              <w:rPr>
                <w:sz w:val="25"/>
                <w:szCs w:val="25"/>
              </w:rPr>
            </w:r>
            <w:r>
              <w:rPr>
                <w:sz w:val="25"/>
                <w:szCs w:val="25"/>
              </w:rPr>
              <w:pict>
                <v:group id="_x0000_s1026" editas="canvas" style="width:194.3pt;height:9pt;mso-position-horizontal-relative:char;mso-position-vertical-relative:line" coordorigin="-1,-1" coordsize="6817,33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top:-1;width:6817;height:332" o:preferrelative="f">
                    <v:fill o:detectmouseclick="t"/>
                    <v:path o:extrusionok="t" o:connecttype="none"/>
                    <o:lock v:ext="edit" text="t"/>
                  </v:shape>
                  <w10:wrap type="none"/>
                  <w10:anchorlock/>
                </v:group>
              </w:pict>
            </w:r>
          </w:p>
          <w:p w:rsidR="00B87989" w:rsidRPr="00604222" w:rsidRDefault="00B87989" w:rsidP="001F5889">
            <w:pPr>
              <w:jc w:val="center"/>
              <w:rPr>
                <w:szCs w:val="28"/>
              </w:rPr>
            </w:pPr>
            <w:r w:rsidRPr="003670FD">
              <w:rPr>
                <w:szCs w:val="28"/>
              </w:rPr>
              <w:t>Số</w:t>
            </w:r>
            <w:r>
              <w:rPr>
                <w:szCs w:val="28"/>
              </w:rPr>
              <w:t xml:space="preserve">:  </w:t>
            </w:r>
            <w:r w:rsidR="001F5889">
              <w:rPr>
                <w:szCs w:val="28"/>
              </w:rPr>
              <w:t>27</w:t>
            </w:r>
            <w:r>
              <w:rPr>
                <w:szCs w:val="28"/>
              </w:rPr>
              <w:t xml:space="preserve"> </w:t>
            </w:r>
            <w:r w:rsidRPr="003670FD">
              <w:rPr>
                <w:szCs w:val="28"/>
              </w:rPr>
              <w:t>/HD-MTT</w:t>
            </w:r>
            <w:r>
              <w:rPr>
                <w:szCs w:val="28"/>
              </w:rPr>
              <w:t>Q-BTT</w:t>
            </w:r>
          </w:p>
        </w:tc>
        <w:tc>
          <w:tcPr>
            <w:tcW w:w="5628" w:type="dxa"/>
          </w:tcPr>
          <w:p w:rsidR="00B87989" w:rsidRPr="003670FD" w:rsidRDefault="00B87989" w:rsidP="00A777E1">
            <w:pPr>
              <w:ind w:right="-175" w:hanging="142"/>
              <w:jc w:val="center"/>
              <w:rPr>
                <w:b/>
                <w:sz w:val="26"/>
                <w:szCs w:val="26"/>
              </w:rPr>
            </w:pPr>
            <w:r w:rsidRPr="003670FD">
              <w:rPr>
                <w:b/>
                <w:sz w:val="26"/>
                <w:szCs w:val="26"/>
              </w:rPr>
              <w:t xml:space="preserve">CỘNG HOÀ XÃ HỘI CHỦ NGHĨA VIỆT </w:t>
            </w:r>
            <w:smartTag w:uri="urn:schemas-microsoft-com:office:smarttags" w:element="place">
              <w:smartTag w:uri="urn:schemas-microsoft-com:office:smarttags" w:element="country-region">
                <w:r w:rsidRPr="003670FD">
                  <w:rPr>
                    <w:b/>
                    <w:sz w:val="26"/>
                    <w:szCs w:val="26"/>
                  </w:rPr>
                  <w:t>NAM</w:t>
                </w:r>
              </w:smartTag>
            </w:smartTag>
          </w:p>
          <w:p w:rsidR="00B87989" w:rsidRPr="003670FD" w:rsidRDefault="00B87989" w:rsidP="00A777E1">
            <w:pPr>
              <w:ind w:right="154"/>
              <w:jc w:val="center"/>
              <w:rPr>
                <w:b/>
                <w:szCs w:val="28"/>
              </w:rPr>
            </w:pPr>
            <w:r w:rsidRPr="003670FD">
              <w:rPr>
                <w:b/>
                <w:szCs w:val="28"/>
              </w:rPr>
              <w:t xml:space="preserve">     </w:t>
            </w:r>
            <w:r w:rsidRPr="003670FD">
              <w:rPr>
                <w:rFonts w:hint="eastAsia"/>
                <w:b/>
                <w:szCs w:val="28"/>
              </w:rPr>
              <w:t>Đ</w:t>
            </w:r>
            <w:r w:rsidRPr="003670FD">
              <w:rPr>
                <w:b/>
                <w:szCs w:val="28"/>
              </w:rPr>
              <w:t>ộc lập – Tự do – Hạnh phúc</w:t>
            </w:r>
          </w:p>
          <w:p w:rsidR="00B87989" w:rsidRPr="003670FD" w:rsidRDefault="007D60BD" w:rsidP="00A777E1">
            <w:pPr>
              <w:jc w:val="center"/>
              <w:rPr>
                <w:lang w:val="pt-BR"/>
              </w:rPr>
            </w:pPr>
            <w:r>
              <w:rPr>
                <w:noProof/>
              </w:rPr>
              <w:pict>
                <v:line id="_x0000_s1030" style="position:absolute;left:0;text-align:left;flip:y;z-index:251660288" from="48.9pt,1.2pt" to="232.65pt,1.2pt"/>
              </w:pict>
            </w:r>
            <w:r w:rsidRPr="007D60BD">
              <w:rPr>
                <w:lang w:val="pt-BR"/>
              </w:rPr>
            </w:r>
            <w:r>
              <w:rPr>
                <w:lang w:val="pt-BR"/>
              </w:rPr>
              <w:pict>
                <v:group id="_x0000_s1028" editas="canvas" style="width:214.4pt;height:9pt;mso-position-horizontal-relative:char;mso-position-vertical-relative:line" coordsize="5528,240">
                  <o:lock v:ext="edit" aspectratio="t"/>
                  <v:shape id="_x0000_s1029" type="#_x0000_t75" style="position:absolute;width:5528;height:240" o:preferrelative="f">
                    <v:fill o:detectmouseclick="t"/>
                    <v:path o:extrusionok="t" o:connecttype="none"/>
                    <o:lock v:ext="edit" text="t"/>
                  </v:shape>
                  <w10:wrap type="none"/>
                  <w10:anchorlock/>
                </v:group>
              </w:pict>
            </w:r>
          </w:p>
          <w:p w:rsidR="00B87989" w:rsidRPr="00604222" w:rsidRDefault="00B87989" w:rsidP="001F5889">
            <w:pPr>
              <w:pStyle w:val="Heading1"/>
              <w:jc w:val="center"/>
              <w:rPr>
                <w:rFonts w:ascii="Times New Roman" w:hAnsi="Times New Roman"/>
                <w:i/>
                <w:szCs w:val="28"/>
                <w:lang w:val="pt-BR"/>
              </w:rPr>
            </w:pPr>
            <w:r>
              <w:rPr>
                <w:rFonts w:ascii="Times New Roman" w:hAnsi="Times New Roman"/>
                <w:i/>
                <w:szCs w:val="28"/>
                <w:lang w:val="pt-BR"/>
              </w:rPr>
              <w:t xml:space="preserve">          Cư Jút</w:t>
            </w:r>
            <w:r w:rsidRPr="00C75D88">
              <w:rPr>
                <w:rFonts w:ascii="Times New Roman" w:hAnsi="Times New Roman"/>
                <w:i/>
                <w:szCs w:val="28"/>
                <w:lang w:val="pt-BR"/>
              </w:rPr>
              <w:t xml:space="preserve">, ngày </w:t>
            </w:r>
            <w:r w:rsidR="001F5889">
              <w:rPr>
                <w:rFonts w:ascii="Times New Roman" w:hAnsi="Times New Roman"/>
                <w:i/>
                <w:szCs w:val="28"/>
                <w:lang w:val="pt-BR"/>
              </w:rPr>
              <w:t>15</w:t>
            </w:r>
            <w:r w:rsidRPr="00C75D88">
              <w:rPr>
                <w:rFonts w:ascii="Times New Roman" w:hAnsi="Times New Roman"/>
                <w:i/>
                <w:szCs w:val="28"/>
                <w:lang w:val="pt-BR"/>
              </w:rPr>
              <w:t xml:space="preserve"> tháng</w:t>
            </w:r>
            <w:r>
              <w:rPr>
                <w:rFonts w:ascii="Times New Roman" w:hAnsi="Times New Roman"/>
                <w:i/>
                <w:szCs w:val="28"/>
                <w:lang w:val="pt-BR"/>
              </w:rPr>
              <w:t xml:space="preserve"> </w:t>
            </w:r>
            <w:r w:rsidR="001F5889">
              <w:rPr>
                <w:rFonts w:ascii="Times New Roman" w:hAnsi="Times New Roman"/>
                <w:i/>
                <w:szCs w:val="28"/>
                <w:lang w:val="pt-BR"/>
              </w:rPr>
              <w:t>3</w:t>
            </w:r>
            <w:r w:rsidRPr="00C75D88">
              <w:rPr>
                <w:rFonts w:ascii="Times New Roman" w:hAnsi="Times New Roman"/>
                <w:i/>
                <w:szCs w:val="28"/>
                <w:lang w:val="pt-BR"/>
              </w:rPr>
              <w:t xml:space="preserve"> n</w:t>
            </w:r>
            <w:r w:rsidRPr="00C75D88">
              <w:rPr>
                <w:rFonts w:ascii="Times New Roman" w:hAnsi="Times New Roman" w:hint="eastAsia"/>
                <w:i/>
                <w:szCs w:val="28"/>
                <w:lang w:val="pt-BR"/>
              </w:rPr>
              <w:t>ă</w:t>
            </w:r>
            <w:r w:rsidRPr="00C75D88">
              <w:rPr>
                <w:rFonts w:ascii="Times New Roman" w:hAnsi="Times New Roman"/>
                <w:i/>
                <w:szCs w:val="28"/>
                <w:lang w:val="pt-BR"/>
              </w:rPr>
              <w:t>m 20</w:t>
            </w:r>
            <w:r>
              <w:rPr>
                <w:rFonts w:ascii="Times New Roman" w:hAnsi="Times New Roman"/>
                <w:i/>
                <w:szCs w:val="28"/>
                <w:lang w:val="pt-BR"/>
              </w:rPr>
              <w:t>17</w:t>
            </w:r>
          </w:p>
        </w:tc>
      </w:tr>
      <w:tr w:rsidR="00B87989" w:rsidRPr="0026761E" w:rsidTr="00A777E1">
        <w:tblPrEx>
          <w:tblLook w:val="04A0"/>
        </w:tblPrEx>
        <w:trPr>
          <w:trHeight w:val="81"/>
        </w:trPr>
        <w:tc>
          <w:tcPr>
            <w:tcW w:w="4537" w:type="dxa"/>
            <w:gridSpan w:val="2"/>
          </w:tcPr>
          <w:p w:rsidR="00B87989" w:rsidRPr="0026761E" w:rsidRDefault="00B87989" w:rsidP="00A777E1">
            <w:pPr>
              <w:rPr>
                <w:color w:val="000000"/>
                <w:lang w:val="pt-BR"/>
              </w:rPr>
            </w:pPr>
          </w:p>
        </w:tc>
        <w:tc>
          <w:tcPr>
            <w:tcW w:w="6237" w:type="dxa"/>
            <w:gridSpan w:val="3"/>
          </w:tcPr>
          <w:p w:rsidR="00B87989" w:rsidRPr="0026761E" w:rsidRDefault="00B87989" w:rsidP="00A777E1">
            <w:pPr>
              <w:tabs>
                <w:tab w:val="left" w:pos="1950"/>
              </w:tabs>
              <w:rPr>
                <w:i/>
                <w:color w:val="000000"/>
                <w:szCs w:val="28"/>
                <w:lang w:val="pt-BR"/>
              </w:rPr>
            </w:pPr>
          </w:p>
        </w:tc>
      </w:tr>
    </w:tbl>
    <w:p w:rsidR="00B87989" w:rsidRPr="00604222" w:rsidRDefault="00B87989" w:rsidP="00B87989">
      <w:pPr>
        <w:jc w:val="center"/>
        <w:rPr>
          <w:b/>
          <w:color w:val="000000"/>
          <w:sz w:val="34"/>
        </w:rPr>
      </w:pPr>
      <w:r w:rsidRPr="00604222">
        <w:rPr>
          <w:b/>
          <w:color w:val="000000"/>
          <w:sz w:val="32"/>
        </w:rPr>
        <w:t>HƯỚNG DẪN</w:t>
      </w:r>
    </w:p>
    <w:p w:rsidR="00B87989" w:rsidRPr="00CF2830" w:rsidRDefault="00B87989" w:rsidP="00B87989">
      <w:pPr>
        <w:jc w:val="center"/>
        <w:rPr>
          <w:b/>
          <w:color w:val="000000"/>
          <w:szCs w:val="28"/>
        </w:rPr>
      </w:pPr>
      <w:r w:rsidRPr="00CF2830">
        <w:rPr>
          <w:b/>
          <w:color w:val="000000"/>
          <w:szCs w:val="28"/>
        </w:rPr>
        <w:t>C</w:t>
      </w:r>
      <w:r>
        <w:rPr>
          <w:b/>
          <w:color w:val="000000"/>
          <w:szCs w:val="28"/>
        </w:rPr>
        <w:t>ông tác tôn giáo năm 2017</w:t>
      </w:r>
    </w:p>
    <w:p w:rsidR="00B87989" w:rsidRPr="00CF2830" w:rsidRDefault="00B87989" w:rsidP="00B87989">
      <w:pPr>
        <w:jc w:val="center"/>
        <w:rPr>
          <w:b/>
          <w:color w:val="000000"/>
          <w:sz w:val="26"/>
        </w:rPr>
      </w:pPr>
    </w:p>
    <w:p w:rsidR="00B87989" w:rsidRPr="00983560" w:rsidRDefault="00B87989" w:rsidP="00B87989">
      <w:pPr>
        <w:spacing w:before="120"/>
        <w:ind w:right="84" w:firstLine="504"/>
        <w:jc w:val="both"/>
        <w:rPr>
          <w:color w:val="000000"/>
          <w:szCs w:val="28"/>
        </w:rPr>
      </w:pPr>
      <w:r w:rsidRPr="00983560">
        <w:rPr>
          <w:color w:val="000000"/>
          <w:szCs w:val="28"/>
        </w:rPr>
        <w:t xml:space="preserve">Thực hiện </w:t>
      </w:r>
      <w:r w:rsidR="001C596B">
        <w:rPr>
          <w:color w:val="000000"/>
          <w:szCs w:val="28"/>
        </w:rPr>
        <w:t xml:space="preserve">Kế hoạch số 64/KH-MT-BTT, ngày 06/3/2017 của Ban Thường trực Uỷ ban MTTQ tỉnh Đăk Nông về “Thực hiện Công tác tôn giáo năm 2017” và </w:t>
      </w:r>
      <w:r w:rsidRPr="00983560">
        <w:rPr>
          <w:color w:val="000000"/>
          <w:szCs w:val="28"/>
        </w:rPr>
        <w:t>Chương trình phối hợp và thống nhất hành động năm 2017 của Ủy ban MTTQ huyệ</w:t>
      </w:r>
      <w:r w:rsidR="001C596B">
        <w:rPr>
          <w:color w:val="000000"/>
          <w:szCs w:val="28"/>
        </w:rPr>
        <w:t>n.</w:t>
      </w:r>
      <w:r w:rsidRPr="00983560">
        <w:rPr>
          <w:color w:val="000000"/>
          <w:szCs w:val="28"/>
        </w:rPr>
        <w:t xml:space="preserve"> Ban Thường trực Uỷ ban MTTQ huyện hướng dẫn </w:t>
      </w:r>
      <w:r w:rsidR="001C596B">
        <w:rPr>
          <w:color w:val="000000"/>
          <w:szCs w:val="28"/>
        </w:rPr>
        <w:t>một số c</w:t>
      </w:r>
      <w:r w:rsidRPr="00983560">
        <w:rPr>
          <w:color w:val="000000"/>
          <w:szCs w:val="28"/>
        </w:rPr>
        <w:t xml:space="preserve">ông tác tôn giáo năm 2017 </w:t>
      </w:r>
      <w:r w:rsidR="001C596B">
        <w:rPr>
          <w:color w:val="000000"/>
          <w:szCs w:val="28"/>
        </w:rPr>
        <w:t xml:space="preserve">trên địa bàn huyện </w:t>
      </w:r>
      <w:r w:rsidRPr="00983560">
        <w:rPr>
          <w:color w:val="000000"/>
          <w:szCs w:val="28"/>
        </w:rPr>
        <w:t>như sau:</w:t>
      </w:r>
    </w:p>
    <w:p w:rsidR="00B87989" w:rsidRPr="00983560" w:rsidRDefault="00B87989" w:rsidP="00B87989">
      <w:pPr>
        <w:spacing w:before="120"/>
        <w:ind w:right="84" w:firstLine="504"/>
        <w:jc w:val="both"/>
        <w:rPr>
          <w:color w:val="000000"/>
          <w:szCs w:val="28"/>
        </w:rPr>
      </w:pPr>
      <w:r w:rsidRPr="00983560">
        <w:rPr>
          <w:b/>
          <w:color w:val="000000"/>
          <w:szCs w:val="28"/>
        </w:rPr>
        <w:t>1.</w:t>
      </w:r>
      <w:r w:rsidRPr="00983560">
        <w:rPr>
          <w:color w:val="000000"/>
          <w:szCs w:val="28"/>
        </w:rPr>
        <w:t xml:space="preserve"> Tiếp tục triển khai thực hiện Kết luận số 02-KL/ĐCT, ngày 29/12/2015 của Đoàn Chủ tịch Ủy ban Trung ương MTTQ Việt Nam </w:t>
      </w:r>
      <w:r w:rsidRPr="00983560">
        <w:rPr>
          <w:i/>
          <w:color w:val="000000"/>
          <w:szCs w:val="28"/>
        </w:rPr>
        <w:t>về đổi mới nội dung, phương thức hoạt động của MTTQ Việt Nam trong công tác tôn giáo”</w:t>
      </w:r>
      <w:r w:rsidRPr="00983560">
        <w:rPr>
          <w:color w:val="000000"/>
          <w:szCs w:val="28"/>
        </w:rPr>
        <w:t>; tăng cường tiếp xúc, thông tin, tuyên truyền, vận động tín đồ, chức sắc, nhà tu hành các tôn giáo nắm vững và tham gia thực hiện tốt các chủ trương, đường lối của Đảng, chính sách, pháp luật của Nhà nước, Chương trình hành động của MTTQ, nhất là những vấn đề liên quan đến chính sách và công tác tôn giáo. Chủ động nắm bắt, tập hợp đầy đủ, kịp thời tâm tư, nguyện vọng của chức sắc, tổ chức và đồng bào các tôn giáo để báo cáo với Uỷ ban MTTQ huyện và kiến nghị với cấp ủy, chính quyền địa phương giải quyết theo quy định của pháp luật.</w:t>
      </w:r>
    </w:p>
    <w:p w:rsidR="00B87989" w:rsidRPr="00983560" w:rsidRDefault="00B87989" w:rsidP="00B87989">
      <w:pPr>
        <w:spacing w:before="120"/>
        <w:ind w:right="84" w:firstLine="504"/>
        <w:jc w:val="both"/>
        <w:rPr>
          <w:color w:val="000000"/>
          <w:szCs w:val="28"/>
        </w:rPr>
      </w:pPr>
      <w:r w:rsidRPr="00983560">
        <w:rPr>
          <w:b/>
          <w:color w:val="000000"/>
          <w:szCs w:val="28"/>
        </w:rPr>
        <w:t>2.</w:t>
      </w:r>
      <w:r w:rsidRPr="00983560">
        <w:rPr>
          <w:color w:val="000000"/>
          <w:szCs w:val="28"/>
        </w:rPr>
        <w:t xml:space="preserve"> </w:t>
      </w:r>
      <w:r w:rsidR="001C596B">
        <w:rPr>
          <w:color w:val="000000"/>
          <w:szCs w:val="28"/>
        </w:rPr>
        <w:t>P</w:t>
      </w:r>
      <w:r w:rsidRPr="00983560">
        <w:rPr>
          <w:color w:val="000000"/>
          <w:szCs w:val="28"/>
        </w:rPr>
        <w:t xml:space="preserve">hối hợp </w:t>
      </w:r>
      <w:r w:rsidR="001C596B">
        <w:rPr>
          <w:color w:val="000000"/>
          <w:szCs w:val="28"/>
        </w:rPr>
        <w:t xml:space="preserve">với các tổ chức tôn giáo ở địa phương tiếp tục </w:t>
      </w:r>
      <w:r w:rsidRPr="00983560">
        <w:rPr>
          <w:color w:val="000000"/>
          <w:szCs w:val="28"/>
        </w:rPr>
        <w:t>triển khai Chương trình</w:t>
      </w:r>
      <w:r w:rsidRPr="00983560">
        <w:rPr>
          <w:i/>
          <w:color w:val="000000"/>
          <w:szCs w:val="28"/>
        </w:rPr>
        <w:t xml:space="preserve"> </w:t>
      </w:r>
      <w:r w:rsidRPr="00983560">
        <w:rPr>
          <w:color w:val="000000"/>
          <w:szCs w:val="28"/>
        </w:rPr>
        <w:t xml:space="preserve">tham gia bảo vệ môi trường và ứng phó với biến đổi khí hậu </w:t>
      </w:r>
      <w:r w:rsidR="001C596B">
        <w:rPr>
          <w:color w:val="000000"/>
          <w:szCs w:val="28"/>
        </w:rPr>
        <w:t xml:space="preserve">(giai đoạn 2015-2020) </w:t>
      </w:r>
      <w:r w:rsidRPr="00983560">
        <w:rPr>
          <w:color w:val="000000"/>
          <w:szCs w:val="28"/>
        </w:rPr>
        <w:t>phù hợp với đặc điểm tôn giáo và tình hình cụ thể của địa phương.</w:t>
      </w:r>
    </w:p>
    <w:p w:rsidR="001C596B" w:rsidRDefault="00B87989" w:rsidP="00B87989">
      <w:pPr>
        <w:spacing w:before="120"/>
        <w:ind w:right="84" w:firstLine="504"/>
        <w:jc w:val="both"/>
        <w:rPr>
          <w:color w:val="000000"/>
          <w:szCs w:val="28"/>
        </w:rPr>
      </w:pPr>
      <w:r w:rsidRPr="00983560">
        <w:rPr>
          <w:b/>
          <w:color w:val="000000"/>
          <w:szCs w:val="28"/>
        </w:rPr>
        <w:t>3.</w:t>
      </w:r>
      <w:r w:rsidRPr="00983560">
        <w:rPr>
          <w:color w:val="000000"/>
          <w:szCs w:val="28"/>
        </w:rPr>
        <w:t xml:space="preserve"> Phối hợp triển khai Luật tín ngưỡng, tôn giáo </w:t>
      </w:r>
      <w:r w:rsidR="001C596B">
        <w:rPr>
          <w:color w:val="000000"/>
          <w:szCs w:val="28"/>
        </w:rPr>
        <w:t>đến</w:t>
      </w:r>
      <w:r w:rsidRPr="00983560">
        <w:rPr>
          <w:color w:val="000000"/>
          <w:szCs w:val="28"/>
        </w:rPr>
        <w:t xml:space="preserve"> đội ngũ cán bộ Mặt trận các cấp và chức sắc, nhà tu hành, chức việc các tôn giáo</w:t>
      </w:r>
      <w:r w:rsidR="001C596B">
        <w:rPr>
          <w:color w:val="000000"/>
          <w:szCs w:val="28"/>
        </w:rPr>
        <w:t xml:space="preserve">. </w:t>
      </w:r>
    </w:p>
    <w:p w:rsidR="001C596B" w:rsidRDefault="00B87989" w:rsidP="00B87989">
      <w:pPr>
        <w:spacing w:before="120"/>
        <w:ind w:right="84" w:firstLine="504"/>
        <w:jc w:val="both"/>
        <w:rPr>
          <w:color w:val="000000"/>
          <w:szCs w:val="28"/>
        </w:rPr>
      </w:pPr>
      <w:r w:rsidRPr="00983560">
        <w:rPr>
          <w:b/>
          <w:color w:val="000000"/>
          <w:szCs w:val="28"/>
        </w:rPr>
        <w:t>4.</w:t>
      </w:r>
      <w:r w:rsidRPr="00983560">
        <w:rPr>
          <w:color w:val="000000"/>
          <w:szCs w:val="28"/>
        </w:rPr>
        <w:t xml:space="preserve"> Phối hợp </w:t>
      </w:r>
      <w:r w:rsidR="001C596B">
        <w:rPr>
          <w:color w:val="000000"/>
          <w:szCs w:val="28"/>
        </w:rPr>
        <w:t xml:space="preserve">biểu dương, khen thưởng và nhân rộng mô hình tốt của các tôn giáo tham gia phát triển giáo dục mầm non, hoạt động khám, chữa bệnh, chăm sóc sức khoẻ cho người nghèo, tàn tật, người nhiễm HIV/AIDS, bệnh phong; các hoạt động bảo trợ xã hội (chăm sóc trẻ mồ côi, khuyết tật, người già không nơi nương tựa…) và hoạt động dạy nghề. </w:t>
      </w:r>
    </w:p>
    <w:p w:rsidR="00B87989" w:rsidRPr="00983560" w:rsidRDefault="00B87989" w:rsidP="00B87989">
      <w:pPr>
        <w:spacing w:before="120"/>
        <w:ind w:right="84" w:firstLine="504"/>
        <w:jc w:val="both"/>
        <w:rPr>
          <w:color w:val="000000"/>
          <w:szCs w:val="28"/>
        </w:rPr>
      </w:pPr>
      <w:r w:rsidRPr="00983560">
        <w:rPr>
          <w:b/>
          <w:color w:val="000000"/>
          <w:szCs w:val="28"/>
        </w:rPr>
        <w:t>5.</w:t>
      </w:r>
      <w:r w:rsidRPr="00983560">
        <w:rPr>
          <w:color w:val="000000"/>
          <w:szCs w:val="28"/>
        </w:rPr>
        <w:t xml:space="preserve"> Tuyên truyền, vận động chức sắc, nhà tu hành, tổ chức và đồng bào các tôn giáo phát huy những giá trị văn hóa, đạo đức tốt đẹp của tôn giáo trong đời sống xã hội như: đảm bảo an toàn giao thông; tham gia bảo vệ môi trường và ứng phó với biến đổi khí hậu; thực hiện vệ sinh an toàn thực phẩm; phòng, chống ma túy, tệ nạn xã hội, HIV/AIDS; chung tay giúp đỡ đồng bào gặp thiên tai, bão lũ và đồng bào gặp hoàn cảnh khó khăn; tích cực hưởng ứng và tham gia triển khai các cuộc vận động "</w:t>
      </w:r>
      <w:r w:rsidRPr="00983560">
        <w:rPr>
          <w:i/>
          <w:color w:val="000000"/>
          <w:szCs w:val="28"/>
        </w:rPr>
        <w:t>Toàn dân đoàn kết xây dựng nông thôn mới, đô thị văn minh"; "Người Việt Nam ưu tiên dùng hàng Việt Nam</w:t>
      </w:r>
      <w:r w:rsidRPr="00983560">
        <w:rPr>
          <w:color w:val="000000"/>
          <w:szCs w:val="28"/>
        </w:rPr>
        <w:t>" và các phong trào thi đua yêu nướ</w:t>
      </w:r>
      <w:r w:rsidR="00763437">
        <w:rPr>
          <w:color w:val="000000"/>
          <w:szCs w:val="28"/>
        </w:rPr>
        <w:t>c.</w:t>
      </w:r>
    </w:p>
    <w:p w:rsidR="00B87989" w:rsidRPr="00983560" w:rsidRDefault="00B87989" w:rsidP="00B87989">
      <w:pPr>
        <w:spacing w:before="120"/>
        <w:ind w:right="84" w:firstLine="504"/>
        <w:jc w:val="both"/>
        <w:rPr>
          <w:color w:val="000000"/>
          <w:szCs w:val="28"/>
        </w:rPr>
      </w:pPr>
      <w:r w:rsidRPr="00983560">
        <w:rPr>
          <w:b/>
          <w:color w:val="000000"/>
          <w:szCs w:val="28"/>
        </w:rPr>
        <w:lastRenderedPageBreak/>
        <w:t>6.</w:t>
      </w:r>
      <w:r w:rsidRPr="00983560">
        <w:rPr>
          <w:color w:val="000000"/>
          <w:szCs w:val="28"/>
        </w:rPr>
        <w:t xml:space="preserve"> Vận động đồng bào các tôn giáo tích cực tham gia triển khai thực hiện Quy chế giám sát và phản biện xã hội theo tinh thần Quyết định số 217-QĐ/TW, ngày 12 tháng 12 năm 2013 của Bộ Chính trị và Quy định về việc Mặt trận Tổ quốc Việt Nam, các đoàn thể chính trị - xã hội và nhân dân tham gia góp ý kiến xây dựng Đảng, xây dựng chính quyền theo Quyết định số 218-QĐ/TW, ngày 12 tháng 12 năm 2013 của Bộ Chính trị</w:t>
      </w:r>
      <w:r w:rsidR="00763437">
        <w:rPr>
          <w:color w:val="000000"/>
          <w:szCs w:val="28"/>
        </w:rPr>
        <w:t>.</w:t>
      </w:r>
    </w:p>
    <w:p w:rsidR="00B87989" w:rsidRPr="00983560" w:rsidRDefault="00B87989" w:rsidP="00B87989">
      <w:pPr>
        <w:spacing w:before="120"/>
        <w:ind w:right="84" w:firstLine="504"/>
        <w:jc w:val="both"/>
        <w:rPr>
          <w:color w:val="000000"/>
          <w:szCs w:val="28"/>
        </w:rPr>
      </w:pPr>
      <w:r w:rsidRPr="00983560">
        <w:rPr>
          <w:b/>
          <w:color w:val="000000"/>
          <w:szCs w:val="28"/>
        </w:rPr>
        <w:t>7.</w:t>
      </w:r>
      <w:r w:rsidRPr="00983560">
        <w:rPr>
          <w:color w:val="000000"/>
          <w:szCs w:val="28"/>
        </w:rPr>
        <w:t xml:space="preserve"> Tuyên truyền, vận động chức sắc, đồng bào các tôn giáo tham gia thực hiện Chương trình hành động của MTTQ Việt Nam các cấp thực hiện Nghị quyết Đại hội lần thứ XII của Đảng và Chương trình hành động của MTTQ Việt Nam thực hiện Nghị quyết lần thứ 4 (khóa XII) của Đảng về </w:t>
      </w:r>
      <w:r w:rsidR="00763437">
        <w:rPr>
          <w:color w:val="000000"/>
          <w:szCs w:val="28"/>
        </w:rPr>
        <w:t>“</w:t>
      </w:r>
      <w:r w:rsidR="00763437" w:rsidRPr="00763437">
        <w:rPr>
          <w:i/>
          <w:color w:val="000000"/>
          <w:szCs w:val="28"/>
        </w:rPr>
        <w:t>T</w:t>
      </w:r>
      <w:r w:rsidRPr="00763437">
        <w:rPr>
          <w:i/>
          <w:color w:val="000000"/>
          <w:szCs w:val="28"/>
        </w:rPr>
        <w:t>ăng cường xây dựng, chỉnh đốn Đảng; ngăn chặn, đẩy lùi sự suy thoái về tưởng chính trị, đạo đức lối sống, những biểu hiện “tự diễn biến”, “tự chuyển hóa” trong nội bộ</w:t>
      </w:r>
      <w:r w:rsidR="00763437">
        <w:rPr>
          <w:color w:val="000000"/>
          <w:szCs w:val="28"/>
        </w:rPr>
        <w:t>”</w:t>
      </w:r>
      <w:r w:rsidRPr="00983560">
        <w:rPr>
          <w:color w:val="000000"/>
          <w:szCs w:val="28"/>
        </w:rPr>
        <w:t xml:space="preserve">.  </w:t>
      </w:r>
    </w:p>
    <w:p w:rsidR="001F5889" w:rsidRDefault="00B87989" w:rsidP="00B87989">
      <w:pPr>
        <w:spacing w:before="120"/>
        <w:ind w:right="84" w:firstLine="504"/>
        <w:jc w:val="both"/>
        <w:rPr>
          <w:color w:val="000000"/>
          <w:szCs w:val="28"/>
        </w:rPr>
      </w:pPr>
      <w:r w:rsidRPr="00983560">
        <w:rPr>
          <w:b/>
          <w:color w:val="000000"/>
          <w:szCs w:val="28"/>
        </w:rPr>
        <w:t>8.</w:t>
      </w:r>
      <w:r w:rsidRPr="00983560">
        <w:rPr>
          <w:color w:val="000000"/>
          <w:szCs w:val="28"/>
        </w:rPr>
        <w:t xml:space="preserve"> Phối hợp, giúp đỡ </w:t>
      </w:r>
      <w:r w:rsidR="001F5889">
        <w:rPr>
          <w:color w:val="000000"/>
          <w:szCs w:val="28"/>
        </w:rPr>
        <w:t>các tổ chức tôn giáo tạo điều kiện cho tổ chức, chức sắc và đồng bào các tôn giáo, nhà tu hành tôn giáo tổ chức tyốt các ngày lễ trọng của tôn giáo, đảm bảo trang nghiêm, chu đáo, an toàn, tiết kiệm và theo quy định của pháp luật. Tổ chức thăm hỏi, động viên, tặng quà, thăm viếng các tổ chức, chức sắc, nhà tu hành các tôn giáo nhân các ngày lễ trọng của tôn giáo, Tết cổ truyền của dân tộc và khi chức sắc, nhà tu hành ốm đau, qua đời.</w:t>
      </w:r>
    </w:p>
    <w:p w:rsidR="00B87989" w:rsidRPr="00983560" w:rsidRDefault="00B87989" w:rsidP="00B87989">
      <w:pPr>
        <w:spacing w:before="120"/>
        <w:ind w:right="84" w:firstLine="504"/>
        <w:jc w:val="both"/>
        <w:rPr>
          <w:b/>
          <w:color w:val="000000"/>
          <w:szCs w:val="28"/>
        </w:rPr>
      </w:pPr>
      <w:r w:rsidRPr="00983560">
        <w:rPr>
          <w:b/>
          <w:color w:val="000000"/>
          <w:szCs w:val="28"/>
        </w:rPr>
        <w:t>9.</w:t>
      </w:r>
      <w:r w:rsidRPr="00983560">
        <w:rPr>
          <w:color w:val="000000"/>
          <w:szCs w:val="28"/>
        </w:rPr>
        <w:t xml:space="preserve"> </w:t>
      </w:r>
      <w:r w:rsidR="001F5889">
        <w:rPr>
          <w:color w:val="000000"/>
          <w:szCs w:val="28"/>
        </w:rPr>
        <w:t>Tuyên truyền, vận động chức sắc, nhà tu hành, tổ chức và đồng bào các tôn giáo phát huy những giá trị tốt đẹp và nguồn lực của tôn giáo trong đời sống xã hội; tích cực hưởng ứng tham tham gia triển khai các cuộc vận động “</w:t>
      </w:r>
      <w:r w:rsidR="001F5889" w:rsidRPr="001F5889">
        <w:rPr>
          <w:i/>
          <w:color w:val="000000"/>
          <w:szCs w:val="28"/>
        </w:rPr>
        <w:t>Toàn dân đoàn kết xây dựng nông thôn mới, đô thị văn minh”; “Người Việt Nam ưu tiên dung hang Việt Nam”</w:t>
      </w:r>
      <w:r w:rsidR="001F5889">
        <w:rPr>
          <w:color w:val="000000"/>
          <w:szCs w:val="28"/>
        </w:rPr>
        <w:t xml:space="preserve"> và các phong trào thi đua yêu nước khác do Uỷ ban Trung ương MTTQ Việt Nam phát động.</w:t>
      </w:r>
      <w:r w:rsidRPr="00983560">
        <w:rPr>
          <w:color w:val="000000"/>
          <w:szCs w:val="28"/>
        </w:rPr>
        <w:t xml:space="preserve"> </w:t>
      </w:r>
    </w:p>
    <w:p w:rsidR="00B87989" w:rsidRPr="00983560" w:rsidRDefault="00B87989" w:rsidP="00B87989">
      <w:pPr>
        <w:spacing w:before="120"/>
        <w:ind w:right="84" w:firstLine="504"/>
        <w:jc w:val="both"/>
        <w:rPr>
          <w:szCs w:val="28"/>
        </w:rPr>
      </w:pPr>
      <w:r w:rsidRPr="00983560">
        <w:rPr>
          <w:b/>
          <w:color w:val="000000"/>
          <w:szCs w:val="28"/>
        </w:rPr>
        <w:t>10.</w:t>
      </w:r>
      <w:r w:rsidRPr="00983560">
        <w:rPr>
          <w:color w:val="000000"/>
          <w:szCs w:val="28"/>
        </w:rPr>
        <w:t xml:space="preserve"> </w:t>
      </w:r>
      <w:r w:rsidRPr="00983560">
        <w:rPr>
          <w:szCs w:val="28"/>
        </w:rPr>
        <w:t xml:space="preserve"> Phối hợp với các tổ chức thành viên nắm bắt tình hình, trao đổi thông tin hoạt động trong công tác tôn giáo. </w:t>
      </w:r>
    </w:p>
    <w:p w:rsidR="00B87989" w:rsidRPr="00983560" w:rsidRDefault="00B87989" w:rsidP="00B87989">
      <w:pPr>
        <w:spacing w:before="120"/>
        <w:ind w:left="180" w:right="84" w:firstLine="360"/>
        <w:jc w:val="both"/>
        <w:rPr>
          <w:sz w:val="14"/>
          <w:szCs w:val="28"/>
        </w:rPr>
      </w:pPr>
      <w:r w:rsidRPr="00983560">
        <w:rPr>
          <w:szCs w:val="28"/>
        </w:rPr>
        <w:tab/>
      </w:r>
    </w:p>
    <w:p w:rsidR="00B87989" w:rsidRPr="00983560" w:rsidRDefault="00B87989" w:rsidP="00B87989">
      <w:pPr>
        <w:spacing w:before="120"/>
        <w:ind w:left="180" w:right="84" w:firstLine="360"/>
        <w:jc w:val="both"/>
        <w:rPr>
          <w:szCs w:val="28"/>
        </w:rPr>
      </w:pPr>
      <w:r w:rsidRPr="00983560">
        <w:rPr>
          <w:szCs w:val="28"/>
        </w:rPr>
        <w:t xml:space="preserve">Trên đây là một số nội dung trọng tâm hướng dẫn công tác Tôn giáo trong hệ thống Mặt trận huyện năm 2017. Căn cứ hướng dẫn này đề nghị Ban thường trực Uỷ ban MTTQ các xã, thị trấn xây dựng kế hoạch triển khai thực hiện phù hợp với địa phương. Khi có vấn đề về tôn giáo phức tạp nảy sinh, Ban Thường trực Ủy ban MTTQ các xã, thị trấn kịp thời nắm bắt tình hình, phối hợp xử lý và có báo cáo nhanh về Ban Thường trực Ủy ban MTTQ huyện./. </w:t>
      </w:r>
    </w:p>
    <w:p w:rsidR="00B87989" w:rsidRPr="007C60E8" w:rsidRDefault="00B87989" w:rsidP="00B87989">
      <w:pPr>
        <w:tabs>
          <w:tab w:val="left" w:pos="9180"/>
        </w:tabs>
        <w:ind w:right="16" w:firstLine="720"/>
        <w:jc w:val="both"/>
        <w:rPr>
          <w:szCs w:val="28"/>
        </w:rPr>
      </w:pPr>
      <w:r>
        <w:rPr>
          <w:szCs w:val="28"/>
        </w:rPr>
        <w:t xml:space="preserve"> </w:t>
      </w:r>
    </w:p>
    <w:tbl>
      <w:tblPr>
        <w:tblW w:w="9540" w:type="dxa"/>
        <w:tblInd w:w="108" w:type="dxa"/>
        <w:tblLook w:val="01E0"/>
      </w:tblPr>
      <w:tblGrid>
        <w:gridCol w:w="4428"/>
        <w:gridCol w:w="5112"/>
      </w:tblGrid>
      <w:tr w:rsidR="00B87989" w:rsidRPr="00D640F8" w:rsidTr="00A777E1">
        <w:tc>
          <w:tcPr>
            <w:tcW w:w="4428" w:type="dxa"/>
            <w:shd w:val="clear" w:color="auto" w:fill="auto"/>
          </w:tcPr>
          <w:p w:rsidR="00B87989" w:rsidRPr="00D640F8" w:rsidRDefault="00B87989" w:rsidP="00A777E1">
            <w:pPr>
              <w:rPr>
                <w:b/>
                <w:bCs/>
                <w:i/>
                <w:iCs/>
                <w:color w:val="000000"/>
                <w:sz w:val="26"/>
                <w:szCs w:val="26"/>
              </w:rPr>
            </w:pPr>
            <w:r w:rsidRPr="00D640F8">
              <w:rPr>
                <w:b/>
                <w:bCs/>
                <w:i/>
                <w:iCs/>
                <w:color w:val="000000"/>
                <w:sz w:val="26"/>
                <w:szCs w:val="26"/>
              </w:rPr>
              <w:t>Nơi nhận:</w:t>
            </w:r>
          </w:p>
          <w:p w:rsidR="00B87989" w:rsidRPr="00D640F8" w:rsidRDefault="00B87989" w:rsidP="00A777E1">
            <w:pPr>
              <w:rPr>
                <w:color w:val="000000"/>
                <w:sz w:val="22"/>
              </w:rPr>
            </w:pPr>
            <w:r w:rsidRPr="00D640F8">
              <w:rPr>
                <w:color w:val="000000"/>
                <w:sz w:val="22"/>
              </w:rPr>
              <w:t>- TT Ủy ban MTTQ tỉnh;</w:t>
            </w:r>
          </w:p>
          <w:p w:rsidR="00B87989" w:rsidRPr="00D640F8" w:rsidRDefault="00B87989" w:rsidP="00A777E1">
            <w:pPr>
              <w:rPr>
                <w:color w:val="000000"/>
                <w:sz w:val="22"/>
              </w:rPr>
            </w:pPr>
            <w:r w:rsidRPr="00D640F8">
              <w:rPr>
                <w:color w:val="000000"/>
                <w:sz w:val="22"/>
              </w:rPr>
              <w:t>- TT Huyện ủy;</w:t>
            </w:r>
          </w:p>
          <w:p w:rsidR="00B87989" w:rsidRPr="00D640F8" w:rsidRDefault="00B87989" w:rsidP="00A777E1">
            <w:pPr>
              <w:rPr>
                <w:color w:val="000000"/>
                <w:sz w:val="22"/>
              </w:rPr>
            </w:pPr>
            <w:r w:rsidRPr="00D640F8">
              <w:rPr>
                <w:color w:val="000000"/>
                <w:sz w:val="22"/>
              </w:rPr>
              <w:t>- Ban Dân vận HU;</w:t>
            </w:r>
          </w:p>
          <w:p w:rsidR="00B87989" w:rsidRPr="00D640F8" w:rsidRDefault="00B87989" w:rsidP="00A777E1">
            <w:pPr>
              <w:rPr>
                <w:color w:val="000000"/>
                <w:sz w:val="22"/>
              </w:rPr>
            </w:pPr>
            <w:r w:rsidRPr="00D640F8">
              <w:rPr>
                <w:color w:val="000000"/>
                <w:sz w:val="22"/>
              </w:rPr>
              <w:t xml:space="preserve">- TT Uỷ ban MTTQ huyện; </w:t>
            </w:r>
          </w:p>
          <w:p w:rsidR="00B87989" w:rsidRPr="00D640F8" w:rsidRDefault="00B87989" w:rsidP="00A777E1">
            <w:pPr>
              <w:rPr>
                <w:color w:val="000000"/>
                <w:sz w:val="22"/>
              </w:rPr>
            </w:pPr>
            <w:r w:rsidRPr="00D640F8">
              <w:rPr>
                <w:color w:val="000000"/>
                <w:sz w:val="22"/>
              </w:rPr>
              <w:t>- Uỷ ban MTTQ các xã, TT;</w:t>
            </w:r>
          </w:p>
          <w:p w:rsidR="00B87989" w:rsidRPr="00D640F8" w:rsidRDefault="00B87989" w:rsidP="00A777E1">
            <w:pPr>
              <w:rPr>
                <w:color w:val="000000"/>
              </w:rPr>
            </w:pPr>
            <w:r w:rsidRPr="00D640F8">
              <w:rPr>
                <w:color w:val="000000"/>
                <w:sz w:val="22"/>
              </w:rPr>
              <w:t>- Lưu VT, VP.</w:t>
            </w:r>
          </w:p>
        </w:tc>
        <w:tc>
          <w:tcPr>
            <w:tcW w:w="5112" w:type="dxa"/>
            <w:shd w:val="clear" w:color="auto" w:fill="auto"/>
          </w:tcPr>
          <w:p w:rsidR="00B87989" w:rsidRPr="00D640F8" w:rsidRDefault="00B87989" w:rsidP="00A777E1">
            <w:pPr>
              <w:jc w:val="center"/>
              <w:rPr>
                <w:bCs/>
                <w:color w:val="000000"/>
                <w:szCs w:val="28"/>
              </w:rPr>
            </w:pPr>
            <w:r w:rsidRPr="00D640F8">
              <w:rPr>
                <w:bCs/>
                <w:color w:val="000000"/>
                <w:szCs w:val="28"/>
              </w:rPr>
              <w:t>TM. BAN THƯỜNG TRỰC</w:t>
            </w:r>
          </w:p>
          <w:p w:rsidR="00B87989" w:rsidRPr="00D640F8" w:rsidRDefault="00B87989" w:rsidP="00A777E1">
            <w:pPr>
              <w:jc w:val="center"/>
              <w:rPr>
                <w:b/>
                <w:bCs/>
                <w:color w:val="000000"/>
                <w:szCs w:val="28"/>
              </w:rPr>
            </w:pPr>
            <w:r w:rsidRPr="00D640F8">
              <w:rPr>
                <w:b/>
                <w:bCs/>
                <w:color w:val="000000"/>
                <w:szCs w:val="28"/>
              </w:rPr>
              <w:t>CHỦ TỊCH</w:t>
            </w:r>
          </w:p>
          <w:p w:rsidR="00B87989" w:rsidRPr="00D640F8" w:rsidRDefault="00B87989" w:rsidP="00A777E1">
            <w:pPr>
              <w:jc w:val="center"/>
              <w:rPr>
                <w:b/>
                <w:bCs/>
                <w:color w:val="000000"/>
                <w:szCs w:val="28"/>
              </w:rPr>
            </w:pPr>
          </w:p>
          <w:p w:rsidR="00B87989" w:rsidRPr="00D640F8" w:rsidRDefault="001F5889" w:rsidP="001F5889">
            <w:pPr>
              <w:jc w:val="center"/>
              <w:rPr>
                <w:b/>
                <w:bCs/>
                <w:color w:val="000000"/>
                <w:szCs w:val="28"/>
              </w:rPr>
            </w:pPr>
            <w:r>
              <w:rPr>
                <w:b/>
                <w:bCs/>
                <w:color w:val="000000"/>
                <w:szCs w:val="28"/>
              </w:rPr>
              <w:t>(đã ký)</w:t>
            </w:r>
          </w:p>
          <w:p w:rsidR="00B87989" w:rsidRPr="00D640F8" w:rsidRDefault="00B87989" w:rsidP="00A777E1">
            <w:pPr>
              <w:rPr>
                <w:b/>
                <w:bCs/>
                <w:color w:val="000000"/>
                <w:szCs w:val="28"/>
              </w:rPr>
            </w:pPr>
          </w:p>
          <w:p w:rsidR="00B87989" w:rsidRPr="00D640F8" w:rsidRDefault="00B87989" w:rsidP="00A777E1">
            <w:pPr>
              <w:jc w:val="center"/>
              <w:rPr>
                <w:b/>
                <w:bCs/>
                <w:color w:val="000000"/>
                <w:sz w:val="10"/>
                <w:szCs w:val="28"/>
              </w:rPr>
            </w:pPr>
          </w:p>
          <w:p w:rsidR="00B87989" w:rsidRPr="00D640F8" w:rsidRDefault="001F5889" w:rsidP="00A777E1">
            <w:pPr>
              <w:jc w:val="center"/>
              <w:rPr>
                <w:b/>
                <w:bCs/>
                <w:color w:val="000000"/>
                <w:szCs w:val="28"/>
              </w:rPr>
            </w:pPr>
            <w:r>
              <w:rPr>
                <w:b/>
                <w:bCs/>
                <w:color w:val="000000"/>
                <w:szCs w:val="28"/>
              </w:rPr>
              <w:t>Hoàng Đình Bách</w:t>
            </w:r>
          </w:p>
        </w:tc>
      </w:tr>
    </w:tbl>
    <w:p w:rsidR="00B87989" w:rsidRDefault="00B87989" w:rsidP="00B87989">
      <w:pPr>
        <w:spacing w:before="120" w:after="120"/>
      </w:pPr>
    </w:p>
    <w:p w:rsidR="00B87989" w:rsidRDefault="00B87989" w:rsidP="00B87989">
      <w:pPr>
        <w:spacing w:before="120" w:after="60"/>
        <w:ind w:firstLine="504"/>
        <w:jc w:val="both"/>
        <w:rPr>
          <w:color w:val="000000"/>
          <w:sz w:val="30"/>
          <w:szCs w:val="30"/>
        </w:rPr>
      </w:pPr>
    </w:p>
    <w:p w:rsidR="00376973" w:rsidRDefault="00376973"/>
    <w:sectPr w:rsidR="00376973" w:rsidSect="00ED58A9">
      <w:footerReference w:type="even" r:id="rId6"/>
      <w:footerReference w:type="default" r:id="rId7"/>
      <w:pgSz w:w="11907" w:h="16840" w:code="9"/>
      <w:pgMar w:top="907" w:right="794" w:bottom="680" w:left="1531" w:header="720" w:footer="323"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224" w:rsidRDefault="00150224" w:rsidP="007D60BD">
      <w:r>
        <w:separator/>
      </w:r>
    </w:p>
  </w:endnote>
  <w:endnote w:type="continuationSeparator" w:id="1">
    <w:p w:rsidR="00150224" w:rsidRDefault="00150224" w:rsidP="007D6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01" w:rsidRDefault="007D60BD" w:rsidP="005635FB">
    <w:pPr>
      <w:pStyle w:val="Footer"/>
      <w:framePr w:wrap="around" w:vAnchor="text" w:hAnchor="margin" w:xAlign="center" w:y="1"/>
      <w:rPr>
        <w:rStyle w:val="PageNumber"/>
      </w:rPr>
    </w:pPr>
    <w:r>
      <w:rPr>
        <w:rStyle w:val="PageNumber"/>
      </w:rPr>
      <w:fldChar w:fldCharType="begin"/>
    </w:r>
    <w:r w:rsidR="00B87989">
      <w:rPr>
        <w:rStyle w:val="PageNumber"/>
      </w:rPr>
      <w:instrText xml:space="preserve">PAGE  </w:instrText>
    </w:r>
    <w:r>
      <w:rPr>
        <w:rStyle w:val="PageNumber"/>
      </w:rPr>
      <w:fldChar w:fldCharType="end"/>
    </w:r>
  </w:p>
  <w:p w:rsidR="00091F01" w:rsidRDefault="001502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01" w:rsidRDefault="007D60BD">
    <w:pPr>
      <w:pStyle w:val="Footer"/>
      <w:jc w:val="center"/>
    </w:pPr>
    <w:r>
      <w:fldChar w:fldCharType="begin"/>
    </w:r>
    <w:r w:rsidR="00B87989">
      <w:instrText xml:space="preserve"> PAGE   \* MERGEFORMAT </w:instrText>
    </w:r>
    <w:r>
      <w:fldChar w:fldCharType="separate"/>
    </w:r>
    <w:r w:rsidR="001F5889">
      <w:rPr>
        <w:noProof/>
      </w:rPr>
      <w:t>2</w:t>
    </w:r>
    <w:r>
      <w:fldChar w:fldCharType="end"/>
    </w:r>
  </w:p>
  <w:p w:rsidR="00091F01" w:rsidRDefault="0015022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224" w:rsidRDefault="00150224" w:rsidP="007D60BD">
      <w:r>
        <w:separator/>
      </w:r>
    </w:p>
  </w:footnote>
  <w:footnote w:type="continuationSeparator" w:id="1">
    <w:p w:rsidR="00150224" w:rsidRDefault="00150224" w:rsidP="007D60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B87989"/>
    <w:rsid w:val="00150224"/>
    <w:rsid w:val="001C596B"/>
    <w:rsid w:val="001F5889"/>
    <w:rsid w:val="00376973"/>
    <w:rsid w:val="004A1FBD"/>
    <w:rsid w:val="00763437"/>
    <w:rsid w:val="007D60BD"/>
    <w:rsid w:val="00B87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89"/>
    <w:rPr>
      <w:rFonts w:eastAsia="Calibri" w:cs="Times New Roman"/>
    </w:rPr>
  </w:style>
  <w:style w:type="paragraph" w:styleId="Heading1">
    <w:name w:val="heading 1"/>
    <w:aliases w:val="Heading 1 Char Char"/>
    <w:basedOn w:val="Normal"/>
    <w:next w:val="Normal"/>
    <w:link w:val="Heading1Char"/>
    <w:qFormat/>
    <w:rsid w:val="00B87989"/>
    <w:pPr>
      <w:keepNext/>
      <w:outlineLvl w:val="0"/>
    </w:pPr>
    <w:rPr>
      <w:rFonts w:ascii=".VnTime" w:eastAsia="Times New Roman" w:hAnsi=".VnTime"/>
      <w:szCs w:val="20"/>
    </w:rPr>
  </w:style>
  <w:style w:type="paragraph" w:styleId="Heading2">
    <w:name w:val="heading 2"/>
    <w:basedOn w:val="Normal"/>
    <w:next w:val="Normal"/>
    <w:link w:val="Heading2Char"/>
    <w:qFormat/>
    <w:rsid w:val="00B87989"/>
    <w:pPr>
      <w:keepNext/>
      <w:jc w:val="center"/>
      <w:outlineLvl w:val="1"/>
    </w:pPr>
    <w:rPr>
      <w:rFonts w:ascii=".VnTime" w:eastAsia="Times New Roman" w:hAnsi=".VnTime" w:cs="Gautami"/>
      <w:i/>
      <w:iCs/>
      <w:szCs w:val="28"/>
      <w:lang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B87989"/>
    <w:rPr>
      <w:rFonts w:ascii=".VnTime" w:eastAsia="Times New Roman" w:hAnsi=".VnTime" w:cs="Times New Roman"/>
      <w:szCs w:val="20"/>
    </w:rPr>
  </w:style>
  <w:style w:type="character" w:customStyle="1" w:styleId="Heading2Char">
    <w:name w:val="Heading 2 Char"/>
    <w:basedOn w:val="DefaultParagraphFont"/>
    <w:link w:val="Heading2"/>
    <w:rsid w:val="00B87989"/>
    <w:rPr>
      <w:rFonts w:ascii=".VnTime" w:eastAsia="Times New Roman" w:hAnsi=".VnTime" w:cs="Gautami"/>
      <w:i/>
      <w:iCs/>
      <w:szCs w:val="28"/>
      <w:lang w:bidi="te-IN"/>
    </w:rPr>
  </w:style>
  <w:style w:type="paragraph" w:styleId="Footer">
    <w:name w:val="footer"/>
    <w:basedOn w:val="Normal"/>
    <w:link w:val="FooterChar"/>
    <w:uiPriority w:val="99"/>
    <w:rsid w:val="00B87989"/>
    <w:pPr>
      <w:tabs>
        <w:tab w:val="center" w:pos="4320"/>
        <w:tab w:val="right" w:pos="8640"/>
      </w:tabs>
    </w:pPr>
  </w:style>
  <w:style w:type="character" w:customStyle="1" w:styleId="FooterChar">
    <w:name w:val="Footer Char"/>
    <w:basedOn w:val="DefaultParagraphFont"/>
    <w:link w:val="Footer"/>
    <w:uiPriority w:val="99"/>
    <w:rsid w:val="00B87989"/>
    <w:rPr>
      <w:rFonts w:eastAsia="Calibri" w:cs="Times New Roman"/>
    </w:rPr>
  </w:style>
  <w:style w:type="character" w:styleId="PageNumber">
    <w:name w:val="page number"/>
    <w:basedOn w:val="DefaultParagraphFont"/>
    <w:rsid w:val="00B879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2017-02-28T00:27:00Z</dcterms:created>
  <dcterms:modified xsi:type="dcterms:W3CDTF">2017-06-30T03:26:00Z</dcterms:modified>
</cp:coreProperties>
</file>